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2"/>
          <w:szCs w:val="32"/>
        </w:rPr>
      </w:pPr>
      <w:r>
        <w:rPr>
          <w:rFonts w:hint="eastAsia" w:ascii="仿宋" w:hAnsi="仿宋" w:eastAsia="仿宋" w:cs="仿宋"/>
          <w:b/>
          <w:bCs/>
          <w:sz w:val="32"/>
          <w:szCs w:val="32"/>
        </w:rPr>
        <w:t>2023-2024学年第二学期期初教学工作安排意见</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各教学单位：</w:t>
      </w:r>
    </w:p>
    <w:p>
      <w:pPr>
        <w:rPr>
          <w:rFonts w:ascii="仿宋" w:hAnsi="仿宋" w:eastAsia="仿宋" w:cs="仿宋"/>
          <w:sz w:val="24"/>
          <w:szCs w:val="24"/>
        </w:rPr>
      </w:pPr>
    </w:p>
    <w:p>
      <w:pPr>
        <w:ind w:firstLine="480" w:firstLineChars="200"/>
        <w:rPr>
          <w:rFonts w:ascii="仿宋" w:hAnsi="仿宋" w:eastAsia="仿宋" w:cs="仿宋"/>
          <w:sz w:val="24"/>
          <w:szCs w:val="24"/>
        </w:rPr>
      </w:pPr>
      <w:r>
        <w:rPr>
          <w:rFonts w:hint="eastAsia" w:ascii="仿宋" w:hAnsi="仿宋" w:eastAsia="仿宋" w:cs="仿宋"/>
          <w:sz w:val="24"/>
          <w:szCs w:val="24"/>
        </w:rPr>
        <w:t>按照学校总体工作要求，为确保学期初教学工作顺利开展，现将具体工作安排如下：</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一、开学时间及教学周次</w:t>
      </w:r>
    </w:p>
    <w:p>
      <w:pPr>
        <w:ind w:firstLine="420"/>
        <w:rPr>
          <w:rFonts w:ascii="仿宋" w:hAnsi="仿宋" w:eastAsia="仿宋" w:cs="仿宋"/>
          <w:sz w:val="24"/>
          <w:szCs w:val="24"/>
        </w:rPr>
      </w:pPr>
      <w:r>
        <w:rPr>
          <w:rFonts w:hint="eastAsia" w:ascii="仿宋" w:hAnsi="仿宋" w:eastAsia="仿宋" w:cs="仿宋"/>
          <w:sz w:val="24"/>
          <w:szCs w:val="24"/>
        </w:rPr>
        <w:t>2024年2月26日正式上课，共</w:t>
      </w:r>
      <w:r>
        <w:rPr>
          <w:rFonts w:hint="eastAsia" w:ascii="仿宋" w:hAnsi="仿宋" w:eastAsia="仿宋" w:cs="仿宋"/>
          <w:sz w:val="24"/>
          <w:szCs w:val="24"/>
          <w:lang w:val="en-US" w:eastAsia="zh-CN"/>
        </w:rPr>
        <w:t>18</w:t>
      </w:r>
      <w:r>
        <w:rPr>
          <w:rFonts w:hint="eastAsia" w:ascii="仿宋" w:hAnsi="仿宋" w:eastAsia="仿宋" w:cs="仿宋"/>
          <w:sz w:val="24"/>
          <w:szCs w:val="24"/>
        </w:rPr>
        <w:t>周。</w:t>
      </w:r>
    </w:p>
    <w:p>
      <w:pPr>
        <w:rPr>
          <w:rFonts w:ascii="仿宋" w:hAnsi="仿宋" w:eastAsia="仿宋" w:cs="仿宋"/>
          <w:sz w:val="24"/>
          <w:szCs w:val="24"/>
        </w:rPr>
      </w:pPr>
      <w:r>
        <w:rPr>
          <w:rFonts w:hint="eastAsia" w:ascii="仿宋" w:hAnsi="仿宋" w:eastAsia="仿宋" w:cs="仿宋"/>
          <w:sz w:val="24"/>
          <w:szCs w:val="24"/>
        </w:rPr>
        <w:t>二、做好开学前的教学准备</w:t>
      </w:r>
    </w:p>
    <w:p>
      <w:pPr>
        <w:ind w:firstLine="420"/>
        <w:rPr>
          <w:rFonts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1、上好开学第一课，确保开学第一天、第一周教学秩序。请各二级学院（中心）认真组织教师教学工作，重点关注第一周第一次课的教师，提醒相关教师上好“开学第一课”。</w:t>
      </w:r>
    </w:p>
    <w:p>
      <w:pPr>
        <w:ind w:firstLine="420"/>
        <w:rPr>
          <w:rFonts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2、掌握师生返校情况。及时统计学生</w:t>
      </w:r>
      <w:r>
        <w:rPr>
          <w:rFonts w:hint="eastAsia" w:ascii="仿宋" w:hAnsi="仿宋" w:eastAsia="仿宋" w:cs="仿宋"/>
          <w:color w:val="000000"/>
          <w:sz w:val="24"/>
          <w:szCs w:val="24"/>
          <w:shd w:val="clear" w:color="auto" w:fill="FFFFFF"/>
          <w:lang w:val="en-US" w:eastAsia="zh-CN"/>
        </w:rPr>
        <w:t>报到</w:t>
      </w:r>
      <w:r>
        <w:rPr>
          <w:rFonts w:hint="eastAsia" w:ascii="仿宋" w:hAnsi="仿宋" w:eastAsia="仿宋" w:cs="仿宋"/>
          <w:color w:val="000000"/>
          <w:sz w:val="24"/>
          <w:szCs w:val="24"/>
          <w:shd w:val="clear" w:color="auto" w:fill="FFFFFF"/>
        </w:rPr>
        <w:t>及任课教师</w:t>
      </w:r>
      <w:r>
        <w:rPr>
          <w:rFonts w:hint="eastAsia" w:ascii="仿宋" w:hAnsi="仿宋" w:eastAsia="仿宋" w:cs="仿宋"/>
          <w:color w:val="000000"/>
          <w:sz w:val="24"/>
          <w:szCs w:val="24"/>
          <w:shd w:val="clear" w:color="auto" w:fill="FFFFFF"/>
          <w:lang w:val="en-US" w:eastAsia="zh-CN"/>
        </w:rPr>
        <w:t>到岗</w:t>
      </w:r>
      <w:r>
        <w:rPr>
          <w:rFonts w:hint="eastAsia" w:ascii="仿宋" w:hAnsi="仿宋" w:eastAsia="仿宋" w:cs="仿宋"/>
          <w:color w:val="000000"/>
          <w:sz w:val="24"/>
          <w:szCs w:val="24"/>
          <w:shd w:val="clear" w:color="auto" w:fill="FFFFFF"/>
        </w:rPr>
        <w:t>情况。对于不能如期开出的课程，要及时采取补救方案，并书面说明情况，报教务处。</w:t>
      </w:r>
    </w:p>
    <w:p>
      <w:pPr>
        <w:ind w:firstLine="420"/>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3、具体要求：请任课教师按课程教学方案充分备课，课程教学团队要集体备课，把“五带”教学资料如课程教学方案（课程教学大纲）、教学进度表、课堂教学实施方案（教案）、教材信息、PPT讲义（备课笔记）上传超星网络教学平台，打印点名册</w:t>
      </w:r>
      <w:r>
        <w:rPr>
          <w:rFonts w:hint="eastAsia" w:ascii="仿宋" w:hAnsi="仿宋" w:eastAsia="仿宋" w:cs="仿宋"/>
          <w:color w:val="000000"/>
          <w:sz w:val="24"/>
          <w:szCs w:val="24"/>
          <w:shd w:val="clear" w:color="auto" w:fill="FFFFFF"/>
          <w:lang w:eastAsia="zh-CN"/>
        </w:rPr>
        <w:t>，</w:t>
      </w:r>
      <w:r>
        <w:rPr>
          <w:rFonts w:hint="eastAsia" w:ascii="仿宋" w:hAnsi="仿宋" w:eastAsia="仿宋" w:cs="仿宋"/>
          <w:color w:val="000000"/>
          <w:sz w:val="24"/>
          <w:szCs w:val="24"/>
          <w:shd w:val="clear" w:color="auto" w:fill="FFFFFF"/>
          <w:lang w:val="en-US" w:eastAsia="zh-CN"/>
        </w:rPr>
        <w:t>带好教学资料进课堂，</w:t>
      </w:r>
      <w:r>
        <w:rPr>
          <w:rFonts w:hint="eastAsia" w:ascii="仿宋" w:hAnsi="仿宋" w:eastAsia="仿宋" w:cs="仿宋"/>
          <w:color w:val="000000"/>
          <w:sz w:val="24"/>
          <w:szCs w:val="24"/>
          <w:shd w:val="clear" w:color="auto" w:fill="FFFFFF"/>
        </w:rPr>
        <w:t>注重课堂思政教育，以饱满的热情和精神上好开学第一课，树立“四有好教师”的形象。</w:t>
      </w:r>
    </w:p>
    <w:p>
      <w:pPr>
        <w:rPr>
          <w:rFonts w:ascii="仿宋" w:hAnsi="仿宋" w:eastAsia="仿宋" w:cs="仿宋"/>
          <w:sz w:val="24"/>
          <w:szCs w:val="24"/>
        </w:rPr>
      </w:pPr>
      <w:r>
        <w:rPr>
          <w:rFonts w:hint="eastAsia" w:ascii="仿宋" w:hAnsi="仿宋" w:eastAsia="仿宋" w:cs="仿宋"/>
          <w:sz w:val="24"/>
          <w:szCs w:val="24"/>
        </w:rPr>
        <w:t>三、作息安排</w:t>
      </w:r>
    </w:p>
    <w:tbl>
      <w:tblPr>
        <w:tblStyle w:val="3"/>
        <w:tblW w:w="7029"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587"/>
        <w:gridCol w:w="2721"/>
        <w:gridCol w:w="27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tblCellSpacing w:w="0" w:type="dxa"/>
          <w:jc w:val="center"/>
        </w:trPr>
        <w:tc>
          <w:tcPr>
            <w:tcW w:w="1587"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b/>
                <w:bCs/>
                <w:szCs w:val="24"/>
              </w:rPr>
              <w:t>时段</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b/>
                <w:bCs/>
                <w:szCs w:val="24"/>
              </w:rPr>
              <w:t>节序</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b/>
                <w:bCs/>
                <w:szCs w:val="24"/>
              </w:rPr>
              <w:t>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tblCellSpacing w:w="0" w:type="dxa"/>
          <w:jc w:val="center"/>
        </w:trPr>
        <w:tc>
          <w:tcPr>
            <w:tcW w:w="1587"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上午</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预备铃</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7:50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tblCellSpacing w:w="0" w:type="dxa"/>
          <w:jc w:val="center"/>
        </w:trPr>
        <w:tc>
          <w:tcPr>
            <w:tcW w:w="1587"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上午</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第一节</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8:00-8:45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tblCellSpacing w:w="0" w:type="dxa"/>
          <w:jc w:val="center"/>
        </w:trPr>
        <w:tc>
          <w:tcPr>
            <w:tcW w:w="1587"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上午</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第二节</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8:46-9:30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tblCellSpacing w:w="0" w:type="dxa"/>
          <w:jc w:val="center"/>
        </w:trPr>
        <w:tc>
          <w:tcPr>
            <w:tcW w:w="1587"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上午</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第三节</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9:45-10:30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tblCellSpacing w:w="0" w:type="dxa"/>
          <w:jc w:val="center"/>
        </w:trPr>
        <w:tc>
          <w:tcPr>
            <w:tcW w:w="1587"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上午</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第四节</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10:30-11:15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tblCellSpacing w:w="0" w:type="dxa"/>
          <w:jc w:val="center"/>
        </w:trPr>
        <w:tc>
          <w:tcPr>
            <w:tcW w:w="1587"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中午</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第五节</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11:30-12:15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tblCellSpacing w:w="0" w:type="dxa"/>
          <w:jc w:val="center"/>
        </w:trPr>
        <w:tc>
          <w:tcPr>
            <w:tcW w:w="1587"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中午</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第六节</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12:16-13:00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tblCellSpacing w:w="0" w:type="dxa"/>
          <w:jc w:val="center"/>
        </w:trPr>
        <w:tc>
          <w:tcPr>
            <w:tcW w:w="1587"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下午</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第七节</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13:15-14:00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tblCellSpacing w:w="0" w:type="dxa"/>
          <w:jc w:val="center"/>
        </w:trPr>
        <w:tc>
          <w:tcPr>
            <w:tcW w:w="1587"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下午</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第八节</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14:01-14:45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tblCellSpacing w:w="0" w:type="dxa"/>
          <w:jc w:val="center"/>
        </w:trPr>
        <w:tc>
          <w:tcPr>
            <w:tcW w:w="1587"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下午</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第九节</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15:00-15:45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tblCellSpacing w:w="0" w:type="dxa"/>
          <w:jc w:val="center"/>
        </w:trPr>
        <w:tc>
          <w:tcPr>
            <w:tcW w:w="1587"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下午</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第十节</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15:46-16:30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tblCellSpacing w:w="0" w:type="dxa"/>
          <w:jc w:val="center"/>
        </w:trPr>
        <w:tc>
          <w:tcPr>
            <w:tcW w:w="1587"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晚上</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第十一节</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17:30-18:15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tblCellSpacing w:w="0" w:type="dxa"/>
          <w:jc w:val="center"/>
        </w:trPr>
        <w:tc>
          <w:tcPr>
            <w:tcW w:w="1587"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晚上</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第十二节</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18:16-19:00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tblCellSpacing w:w="0" w:type="dxa"/>
          <w:jc w:val="center"/>
        </w:trPr>
        <w:tc>
          <w:tcPr>
            <w:tcW w:w="1587"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晚上</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第十三节</w:t>
            </w:r>
          </w:p>
        </w:tc>
        <w:tc>
          <w:tcPr>
            <w:tcW w:w="2721" w:type="dxa"/>
            <w:tcBorders>
              <w:top w:val="single" w:color="000000" w:sz="2" w:space="0"/>
              <w:left w:val="single" w:color="000000" w:sz="2" w:space="0"/>
              <w:bottom w:val="single" w:color="000000" w:sz="2" w:space="0"/>
              <w:right w:val="single" w:color="000000" w:sz="2" w:space="0"/>
            </w:tcBorders>
            <w:shd w:val="clear" w:color="auto" w:fill="auto"/>
            <w:tcMar>
              <w:top w:w="72" w:type="dxa"/>
              <w:left w:w="144" w:type="dxa"/>
              <w:bottom w:w="72" w:type="dxa"/>
              <w:right w:w="144" w:type="dxa"/>
            </w:tcMar>
            <w:vAlign w:val="center"/>
          </w:tcPr>
          <w:p>
            <w:pPr>
              <w:pStyle w:val="2"/>
              <w:widowControl/>
              <w:jc w:val="center"/>
              <w:rPr>
                <w:rFonts w:ascii="仿宋" w:hAnsi="仿宋" w:eastAsia="仿宋" w:cs="仿宋"/>
                <w:szCs w:val="24"/>
              </w:rPr>
            </w:pPr>
            <w:r>
              <w:rPr>
                <w:rFonts w:hint="eastAsia" w:ascii="仿宋" w:hAnsi="仿宋" w:eastAsia="仿宋" w:cs="仿宋"/>
                <w:szCs w:val="24"/>
              </w:rPr>
              <w:t>19:01-19:45</w:t>
            </w:r>
          </w:p>
        </w:tc>
      </w:tr>
    </w:tbl>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四、工作内容及要求</w:t>
      </w:r>
    </w:p>
    <w:p>
      <w:pPr>
        <w:rPr>
          <w:rFonts w:ascii="仿宋" w:hAnsi="仿宋" w:eastAsia="仿宋" w:cs="仿宋"/>
          <w:sz w:val="24"/>
          <w:szCs w:val="24"/>
        </w:rPr>
      </w:pPr>
      <w:r>
        <w:rPr>
          <w:rFonts w:hint="eastAsia" w:ascii="仿宋" w:hAnsi="仿宋" w:eastAsia="仿宋" w:cs="仿宋"/>
          <w:sz w:val="24"/>
          <w:szCs w:val="24"/>
        </w:rPr>
        <w:t>（一）课堂教学</w:t>
      </w:r>
    </w:p>
    <w:p>
      <w:pPr>
        <w:ind w:firstLine="480" w:firstLineChars="200"/>
        <w:rPr>
          <w:rFonts w:ascii="仿宋" w:hAnsi="仿宋" w:eastAsia="仿宋" w:cs="仿宋"/>
          <w:sz w:val="24"/>
          <w:szCs w:val="24"/>
        </w:rPr>
      </w:pPr>
      <w:r>
        <w:rPr>
          <w:rFonts w:hint="eastAsia" w:ascii="仿宋" w:hAnsi="仿宋" w:eastAsia="仿宋" w:cs="仿宋"/>
          <w:sz w:val="24"/>
          <w:szCs w:val="24"/>
        </w:rPr>
        <w:t>1.各学院（中心）需成立期初教学工作领导小组，制定学年第二学期期初教学工作方案。根据各学院专业人才培养特点，认真执行人才培养方案，依据教学大纲做好教学准备。督促教师将</w:t>
      </w:r>
      <w:r>
        <w:rPr>
          <w:rFonts w:hint="eastAsia" w:ascii="仿宋" w:hAnsi="仿宋" w:eastAsia="仿宋" w:cs="仿宋"/>
          <w:color w:val="000000"/>
          <w:sz w:val="24"/>
          <w:szCs w:val="24"/>
          <w:shd w:val="clear" w:color="auto" w:fill="FFFFFF"/>
        </w:rPr>
        <w:t>“五带”教学资料上传至超星网络教学平台，打印好点名册。</w:t>
      </w:r>
      <w:r>
        <w:rPr>
          <w:rFonts w:hint="eastAsia" w:ascii="仿宋" w:hAnsi="仿宋" w:eastAsia="仿宋" w:cs="仿宋"/>
          <w:sz w:val="24"/>
          <w:szCs w:val="24"/>
        </w:rPr>
        <w:t>督促师生持教学</w:t>
      </w:r>
      <w:r>
        <w:rPr>
          <w:rFonts w:hint="eastAsia" w:ascii="仿宋" w:hAnsi="仿宋" w:eastAsia="仿宋" w:cs="仿宋"/>
          <w:sz w:val="24"/>
          <w:szCs w:val="24"/>
          <w:lang w:val="en-US" w:eastAsia="zh-CN"/>
        </w:rPr>
        <w:t>资料</w:t>
      </w:r>
      <w:r>
        <w:rPr>
          <w:rFonts w:hint="eastAsia" w:ascii="仿宋" w:hAnsi="仿宋" w:eastAsia="仿宋" w:cs="仿宋"/>
          <w:sz w:val="24"/>
          <w:szCs w:val="24"/>
        </w:rPr>
        <w:t>上课，规范课堂教学纪律。</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贯彻落实学校《课程教学管理指南》（附件1）、《全英语、双语课程教学管理规定》（附件2）、《关于成立学校本科教学质量督查小组的通知》（附件3）、《课程质量评估实施办法（试行）》（附件4）的要求。</w:t>
      </w:r>
    </w:p>
    <w:p>
      <w:pPr>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3.各学院（中心）2月26日前完成三类课程教授、副教授拼课相关工作，务必100%完成三类课程的高职称教师领衔授课任务，拼课明细邮件发送给教务处，并做好相关教学支撑材料的准备工作。</w:t>
      </w:r>
    </w:p>
    <w:p>
      <w:pPr>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.辅导员、教学秘书和班导师要密切关注学生的学习动态，畅通教学反馈渠道，做到及时发现、及时纠正、及时解决。</w:t>
      </w:r>
    </w:p>
    <w:p>
      <w:pPr>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.各学院（中心）根据评建办《关于做好2024年春季学期教学督导与试卷检查工作的通知》要求，做好上学期考试资料复查工作。2月29日前将期末考试成绩单纸质版报送教务处。</w:t>
      </w:r>
    </w:p>
    <w:p>
      <w:pPr>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.各学院（中心）开展实验实训室安全自检自查工作，并根据信实中心《2023-2024学年第二学期教学软件确认通知》要求， 2月23日前完成教学软件的确认。</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val="en-US" w:eastAsia="zh-CN"/>
        </w:rPr>
        <w:t>学生</w:t>
      </w:r>
      <w:r>
        <w:rPr>
          <w:rFonts w:hint="eastAsia" w:ascii="仿宋" w:hAnsi="仿宋" w:eastAsia="仿宋" w:cs="仿宋"/>
          <w:sz w:val="24"/>
          <w:szCs w:val="24"/>
        </w:rPr>
        <w:t>学业安排</w:t>
      </w:r>
    </w:p>
    <w:p>
      <w:pPr>
        <w:ind w:firstLine="480" w:firstLineChars="200"/>
        <w:rPr>
          <w:rFonts w:ascii="仿宋" w:hAnsi="仿宋" w:eastAsia="仿宋" w:cs="仿宋"/>
          <w:sz w:val="24"/>
          <w:szCs w:val="24"/>
        </w:rPr>
      </w:pPr>
      <w:r>
        <w:rPr>
          <w:rFonts w:hint="eastAsia" w:ascii="仿宋" w:hAnsi="仿宋" w:eastAsia="仿宋" w:cs="仿宋"/>
          <w:sz w:val="24"/>
          <w:szCs w:val="24"/>
        </w:rPr>
        <w:t>1.第二轮选课</w:t>
      </w:r>
    </w:p>
    <w:p>
      <w:pPr>
        <w:ind w:firstLine="480" w:firstLineChars="200"/>
        <w:rPr>
          <w:rFonts w:ascii="仿宋" w:hAnsi="仿宋" w:eastAsia="仿宋" w:cs="仿宋"/>
          <w:sz w:val="24"/>
          <w:szCs w:val="24"/>
        </w:rPr>
      </w:pPr>
      <w:r>
        <w:rPr>
          <w:rFonts w:hint="eastAsia" w:ascii="仿宋" w:hAnsi="仿宋" w:eastAsia="仿宋" w:cs="仿宋"/>
          <w:sz w:val="24"/>
          <w:szCs w:val="24"/>
        </w:rPr>
        <w:t>本学期第二轮选课（通识教育选修课、大学英语IV、体育课）将于2月23日-</w:t>
      </w:r>
      <w:r>
        <w:rPr>
          <w:rFonts w:ascii="仿宋" w:hAnsi="仿宋" w:eastAsia="仿宋" w:cs="仿宋"/>
          <w:sz w:val="24"/>
          <w:szCs w:val="24"/>
        </w:rPr>
        <w:t>3</w:t>
      </w:r>
      <w:r>
        <w:rPr>
          <w:rFonts w:hint="eastAsia" w:ascii="仿宋" w:hAnsi="仿宋" w:eastAsia="仿宋" w:cs="仿宋"/>
          <w:sz w:val="24"/>
          <w:szCs w:val="24"/>
        </w:rPr>
        <w:t>月1日进行，各学院根据《关于做好2023-2024学年第二学期</w:t>
      </w:r>
      <w:r>
        <w:rPr>
          <w:rFonts w:hint="eastAsia" w:ascii="仿宋" w:hAnsi="仿宋" w:eastAsia="仿宋" w:cs="仿宋"/>
          <w:sz w:val="24"/>
          <w:szCs w:val="24"/>
          <w:lang w:eastAsia="zh-Hans"/>
        </w:rPr>
        <w:t>第二轮</w:t>
      </w:r>
      <w:r>
        <w:rPr>
          <w:rFonts w:hint="eastAsia" w:ascii="仿宋" w:hAnsi="仿宋" w:eastAsia="仿宋" w:cs="仿宋"/>
          <w:sz w:val="24"/>
          <w:szCs w:val="24"/>
        </w:rPr>
        <w:t>选课工作的通知》要求，确保学生顺利选课。</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2.教材发放</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2月24-25日发放两校区教材，具体安排请关注教务处通知。</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3.学籍注册</w:t>
      </w:r>
    </w:p>
    <w:p>
      <w:pPr>
        <w:ind w:firstLine="480" w:firstLineChars="20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 2月26日</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3月10日，启用自助服务终端进行学籍注册，地点：虹口校区教学楼8楼走廊，崇明校区学生事务中心。</w:t>
      </w:r>
    </w:p>
    <w:p>
      <w:pPr>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.缓考、补考</w:t>
      </w:r>
    </w:p>
    <w:p>
      <w:pPr>
        <w:rPr>
          <w:rFonts w:ascii="仿宋" w:hAnsi="仿宋" w:eastAsia="仿宋" w:cs="仿宋"/>
          <w:sz w:val="24"/>
          <w:szCs w:val="24"/>
        </w:rPr>
      </w:pPr>
      <w:r>
        <w:rPr>
          <w:rFonts w:hint="eastAsia" w:ascii="仿宋" w:hAnsi="仿宋" w:eastAsia="仿宋" w:cs="仿宋"/>
          <w:sz w:val="24"/>
          <w:szCs w:val="24"/>
        </w:rPr>
        <w:t xml:space="preserve">    缓考、补考日期为3月1-8日，详见教务处通知。考试结束后，各学院要督促相关教师规范开展阅卷和登分工作，于3月13日前将成绩录入教务系统，3月20日之前将成绩纸质版报送教务处。补缓考成绩将于3月15日发布。</w:t>
      </w:r>
    </w:p>
    <w:p>
      <w:pPr>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.课程重修报名</w:t>
      </w:r>
    </w:p>
    <w:p>
      <w:pPr>
        <w:ind w:firstLine="480" w:firstLineChars="200"/>
        <w:rPr>
          <w:rFonts w:ascii="仿宋" w:hAnsi="仿宋" w:eastAsia="仿宋" w:cs="仿宋"/>
          <w:sz w:val="24"/>
          <w:szCs w:val="24"/>
        </w:rPr>
      </w:pPr>
      <w:r>
        <w:rPr>
          <w:rFonts w:hint="eastAsia" w:ascii="仿宋" w:hAnsi="仿宋" w:eastAsia="仿宋" w:cs="仿宋"/>
          <w:sz w:val="24"/>
          <w:szCs w:val="24"/>
        </w:rPr>
        <w:t>各学院要依据不及格学生名单，对应本学期开设的课程情况，安排学生进行跟班重修，第3周将启动重修报名工作，请关注教务处通知。</w:t>
      </w:r>
    </w:p>
    <w:p>
      <w:pPr>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.成绩查询与更正</w:t>
      </w:r>
    </w:p>
    <w:p>
      <w:pPr>
        <w:ind w:firstLine="480" w:firstLineChars="200"/>
        <w:rPr>
          <w:rFonts w:ascii="仿宋" w:hAnsi="仿宋" w:eastAsia="仿宋" w:cs="仿宋"/>
          <w:sz w:val="24"/>
          <w:szCs w:val="24"/>
        </w:rPr>
      </w:pPr>
      <w:r>
        <w:rPr>
          <w:rFonts w:hint="eastAsia" w:ascii="仿宋" w:hAnsi="仿宋" w:eastAsia="仿宋" w:cs="仿宋"/>
          <w:sz w:val="24"/>
          <w:szCs w:val="24"/>
        </w:rPr>
        <w:t>学生如对考试成绩有异议，应在开学两周内登录教务系统提出成绩复核申请，经开课学院复查后，给出明确答复，如确系试卷漏评、漏阅、分数漏算、错算需更改成绩，由开课单位签署意见并提供相应的证明材料，报教务处处理。成绩修改造成教学事故的，按《教学事故认定与处理办法》（附件5）处理。</w:t>
      </w:r>
    </w:p>
    <w:p>
      <w:pPr>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.学业预警</w:t>
      </w:r>
    </w:p>
    <w:p>
      <w:pPr>
        <w:ind w:firstLine="480" w:firstLineChars="200"/>
        <w:rPr>
          <w:rFonts w:ascii="仿宋" w:hAnsi="仿宋" w:eastAsia="仿宋" w:cs="仿宋"/>
          <w:sz w:val="24"/>
          <w:szCs w:val="24"/>
        </w:rPr>
      </w:pPr>
      <w:r>
        <w:rPr>
          <w:rFonts w:hint="eastAsia" w:ascii="仿宋" w:hAnsi="仿宋" w:eastAsia="仿宋" w:cs="仿宋"/>
          <w:sz w:val="24"/>
          <w:szCs w:val="24"/>
        </w:rPr>
        <w:t>在补缓考成绩发布后，第4-5周完成。学生在一学期中取得的学分不足该学期修读课程总学分的二分之一应予以试读警告；第二次出现上述情况应予以退学警告；第三次出现上述情况应予以退学处理。请各学院关注教务处通知，做好学业预警相关工作。</w:t>
      </w:r>
    </w:p>
    <w:p>
      <w:pPr>
        <w:rPr>
          <w:rFonts w:ascii="仿宋" w:hAnsi="仿宋" w:eastAsia="仿宋" w:cs="仿宋"/>
          <w:sz w:val="24"/>
          <w:szCs w:val="24"/>
        </w:rPr>
      </w:pPr>
    </w:p>
    <w:p>
      <w:pPr>
        <w:rPr>
          <w:rFonts w:ascii="仿宋" w:hAnsi="仿宋" w:eastAsia="仿宋" w:cs="仿宋"/>
          <w:color w:val="auto"/>
          <w:sz w:val="24"/>
          <w:szCs w:val="24"/>
        </w:rPr>
      </w:pPr>
      <w:r>
        <w:rPr>
          <w:rFonts w:hint="eastAsia" w:ascii="仿宋" w:hAnsi="仿宋" w:eastAsia="仿宋" w:cs="仿宋"/>
          <w:color w:val="auto"/>
          <w:sz w:val="24"/>
          <w:szCs w:val="24"/>
        </w:rPr>
        <w:t>（三）做好教学改革各项工作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本学期教学内涵建设与教学改革各项工作进度大致安排如下，具体将根据相应时间另行通知，各学院可根据时间表安排本单位相关工作开展：</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3月工作安排</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（1）校级教学团队建设立项申请于2月26日截止，3月开展评审工作；</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（2）历年建设项目经费3月完成经费拨付；</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（3）实践教学方案审核、修改，并开展教学方案编写补漏工作。</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4月工作安排</w:t>
      </w:r>
    </w:p>
    <w:p>
      <w:pPr>
        <w:keepNext w:val="0"/>
        <w:keepLines w:val="0"/>
        <w:pageBreakBefore w:val="0"/>
        <w:widowControl w:val="0"/>
        <w:numPr>
          <w:ilvl w:val="0"/>
          <w:numId w:val="2"/>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发布2024级人才培养方案修订指导性意见，启动方案修订工作；</w:t>
      </w:r>
    </w:p>
    <w:p>
      <w:pPr>
        <w:keepNext w:val="0"/>
        <w:keepLines w:val="0"/>
        <w:pageBreakBefore w:val="0"/>
        <w:widowControl w:val="0"/>
        <w:numPr>
          <w:ilvl w:val="0"/>
          <w:numId w:val="2"/>
        </w:numPr>
        <w:kinsoku/>
        <w:wordWrap/>
        <w:overflowPunct/>
        <w:topLinePunct w:val="0"/>
        <w:autoSpaceDE/>
        <w:autoSpaceDN/>
        <w:bidi w:val="0"/>
        <w:adjustRightInd/>
        <w:snapToGrid/>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开展“上好一堂示范课”展示工作；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（3）根据市教委相关通知，完成第六届上海市青教赛校内选拔工作；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开展2024年校级三类内涵建设项目立项工作；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（5）开展2024年度首轮教材立项评审工作。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3.5月工作安排</w:t>
      </w:r>
    </w:p>
    <w:p>
      <w:pPr>
        <w:keepNext w:val="0"/>
        <w:keepLines w:val="0"/>
        <w:pageBreakBefore w:val="0"/>
        <w:widowControl w:val="0"/>
        <w:numPr>
          <w:ilvl w:val="0"/>
          <w:numId w:val="3"/>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组织校级内涵建设项目立项评审；</w:t>
      </w:r>
    </w:p>
    <w:p>
      <w:pPr>
        <w:keepNext w:val="0"/>
        <w:keepLines w:val="0"/>
        <w:pageBreakBefore w:val="0"/>
        <w:widowControl w:val="0"/>
        <w:numPr>
          <w:ilvl w:val="0"/>
          <w:numId w:val="3"/>
        </w:numPr>
        <w:kinsoku/>
        <w:wordWrap/>
        <w:overflowPunct/>
        <w:topLinePunct w:val="0"/>
        <w:autoSpaceDE/>
        <w:autoSpaceDN/>
        <w:bidi w:val="0"/>
        <w:adjustRightInd/>
        <w:snapToGrid/>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2024级人才培养方案修订首轮评审。</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4.6月工作安排</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（1）2022年度市级重点课程、市级课程思政示范课程结项；</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（2）2024级人才培养方案修订修改稿审定；</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新专业申报专家评审；</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开展第二轮教材立项评审工作。</w:t>
      </w:r>
    </w:p>
    <w:p>
      <w:pPr>
        <w:keepNext w:val="0"/>
        <w:keepLines w:val="0"/>
        <w:pageBreakBefore w:val="0"/>
        <w:widowControl w:val="0"/>
        <w:numPr>
          <w:numId w:val="0"/>
        </w:numPr>
        <w:kinsoku/>
        <w:wordWrap/>
        <w:overflowPunct/>
        <w:topLinePunct w:val="0"/>
        <w:autoSpaceDE/>
        <w:autoSpaceDN/>
        <w:bidi w:val="0"/>
        <w:adjustRightInd/>
        <w:snapToGrid/>
        <w:ind w:leftChars="200"/>
        <w:textAlignment w:val="auto"/>
        <w:rPr>
          <w:rFonts w:hint="eastAsia" w:ascii="仿宋" w:hAnsi="仿宋" w:eastAsia="仿宋" w:cs="仿宋"/>
          <w:sz w:val="24"/>
          <w:szCs w:val="24"/>
          <w:lang w:val="en-US" w:eastAsia="zh-CN"/>
        </w:rPr>
      </w:pPr>
      <w:bookmarkStart w:id="0" w:name="_GoBack"/>
      <w:bookmarkEnd w:id="0"/>
    </w:p>
    <w:p>
      <w:pPr>
        <w:rPr>
          <w:rFonts w:ascii="仿宋" w:hAnsi="仿宋" w:eastAsia="仿宋" w:cs="仿宋"/>
          <w:sz w:val="24"/>
          <w:szCs w:val="24"/>
        </w:rPr>
      </w:pPr>
      <w:r>
        <w:rPr>
          <w:rFonts w:hint="eastAsia" w:ascii="仿宋" w:hAnsi="仿宋" w:eastAsia="仿宋" w:cs="仿宋"/>
          <w:sz w:val="24"/>
          <w:szCs w:val="24"/>
        </w:rPr>
        <w:t>（四）做好实践教学工作安排</w:t>
      </w:r>
    </w:p>
    <w:p>
      <w:pPr>
        <w:ind w:firstLine="480" w:firstLineChars="200"/>
        <w:rPr>
          <w:rFonts w:ascii="仿宋" w:hAnsi="仿宋" w:eastAsia="仿宋" w:cs="仿宋"/>
          <w:sz w:val="24"/>
          <w:szCs w:val="24"/>
        </w:rPr>
      </w:pPr>
      <w:r>
        <w:rPr>
          <w:rFonts w:hint="eastAsia" w:ascii="仿宋" w:hAnsi="仿宋" w:eastAsia="仿宋" w:cs="仿宋"/>
          <w:sz w:val="24"/>
          <w:szCs w:val="24"/>
        </w:rPr>
        <w:t>1.毕业论文（设计）</w:t>
      </w:r>
    </w:p>
    <w:p>
      <w:pPr>
        <w:ind w:firstLine="480" w:firstLineChars="200"/>
        <w:rPr>
          <w:rFonts w:ascii="仿宋" w:hAnsi="仿宋" w:eastAsia="仿宋" w:cs="仿宋"/>
          <w:sz w:val="24"/>
          <w:szCs w:val="24"/>
        </w:rPr>
      </w:pPr>
      <w:r>
        <w:rPr>
          <w:rFonts w:hint="eastAsia" w:ascii="仿宋" w:hAnsi="仿宋" w:eastAsia="仿宋" w:cs="仿宋"/>
          <w:sz w:val="24"/>
          <w:szCs w:val="24"/>
        </w:rPr>
        <w:t>（1）各学院根据教务处“2023-2024学年第二学期2024届毕业论文（设计）工作的安排”邮件要求，严把选题关，3月10日前，完成各专业学生中期检查。</w:t>
      </w:r>
    </w:p>
    <w:p>
      <w:pPr>
        <w:ind w:firstLine="480" w:firstLineChars="200"/>
        <w:rPr>
          <w:rFonts w:ascii="仿宋" w:hAnsi="仿宋" w:eastAsia="仿宋" w:cs="仿宋"/>
          <w:sz w:val="24"/>
          <w:szCs w:val="24"/>
        </w:rPr>
      </w:pPr>
      <w:r>
        <w:rPr>
          <w:rFonts w:hint="eastAsia" w:ascii="仿宋" w:hAnsi="仿宋" w:eastAsia="仿宋" w:cs="仿宋"/>
          <w:sz w:val="24"/>
          <w:szCs w:val="24"/>
        </w:rPr>
        <w:t>（2）根据学校武装部的要求，请各学院特别关注大四征兵入伍学生提前完成毕业论文（设计）的情况，成绩合格方可正式入伍。</w:t>
      </w:r>
    </w:p>
    <w:p>
      <w:pPr>
        <w:ind w:firstLine="480" w:firstLineChars="200"/>
        <w:rPr>
          <w:rFonts w:ascii="仿宋" w:hAnsi="仿宋" w:eastAsia="仿宋" w:cs="仿宋"/>
          <w:sz w:val="24"/>
          <w:szCs w:val="24"/>
        </w:rPr>
      </w:pPr>
      <w:r>
        <w:rPr>
          <w:rFonts w:hint="eastAsia" w:ascii="仿宋" w:hAnsi="仿宋" w:eastAsia="仿宋" w:cs="仿宋"/>
          <w:sz w:val="24"/>
          <w:szCs w:val="24"/>
        </w:rPr>
        <w:t>2.实习实训</w:t>
      </w:r>
    </w:p>
    <w:p>
      <w:pPr>
        <w:widowControl/>
        <w:ind w:firstLine="480" w:firstLineChars="200"/>
        <w:rPr>
          <w:rFonts w:ascii="仿宋" w:hAnsi="仿宋" w:eastAsia="仿宋" w:cs="仿宋"/>
          <w:sz w:val="24"/>
          <w:szCs w:val="24"/>
        </w:rPr>
      </w:pPr>
      <w:r>
        <w:rPr>
          <w:rFonts w:hint="eastAsia" w:ascii="仿宋" w:hAnsi="仿宋" w:eastAsia="仿宋" w:cs="仿宋"/>
          <w:sz w:val="24"/>
          <w:szCs w:val="24"/>
        </w:rPr>
        <w:t>（1）各学院根据人才培养方案落实好2023级部分专业（工商管理、金融学、法学、国际经济与贸易、文化产业管理、大数据管理与运用）学生的专业认知实习。</w:t>
      </w:r>
    </w:p>
    <w:p>
      <w:pPr>
        <w:widowControl/>
        <w:ind w:firstLine="480" w:firstLineChars="200"/>
        <w:rPr>
          <w:rFonts w:ascii="仿宋" w:hAnsi="仿宋" w:eastAsia="仿宋" w:cs="仿宋"/>
          <w:sz w:val="24"/>
          <w:szCs w:val="24"/>
        </w:rPr>
      </w:pPr>
      <w:r>
        <w:rPr>
          <w:rFonts w:hint="eastAsia" w:ascii="仿宋" w:hAnsi="仿宋" w:eastAsia="仿宋" w:cs="仿宋"/>
          <w:sz w:val="24"/>
          <w:szCs w:val="24"/>
        </w:rPr>
        <w:t>（2）各学院根据“2023-2024学年第一学期关于做好2024届毕业实习工作的通知”要求，落实好学生毕业实习收尾工作。</w:t>
      </w:r>
    </w:p>
    <w:p>
      <w:pPr>
        <w:ind w:firstLine="480" w:firstLineChars="200"/>
        <w:rPr>
          <w:rFonts w:ascii="仿宋" w:hAnsi="仿宋" w:eastAsia="仿宋" w:cs="仿宋"/>
          <w:sz w:val="24"/>
          <w:szCs w:val="24"/>
        </w:rPr>
      </w:pPr>
      <w:r>
        <w:rPr>
          <w:rFonts w:hint="eastAsia" w:ascii="仿宋" w:hAnsi="仿宋" w:eastAsia="仿宋" w:cs="仿宋"/>
          <w:sz w:val="24"/>
          <w:szCs w:val="24"/>
        </w:rPr>
        <w:t>3.其他工作</w:t>
      </w:r>
    </w:p>
    <w:p>
      <w:pPr>
        <w:ind w:firstLine="480" w:firstLineChars="200"/>
        <w:rPr>
          <w:rFonts w:ascii="仿宋" w:hAnsi="仿宋" w:eastAsia="仿宋" w:cs="仿宋"/>
          <w:sz w:val="24"/>
          <w:szCs w:val="24"/>
        </w:rPr>
      </w:pPr>
      <w:r>
        <w:rPr>
          <w:rFonts w:hint="eastAsia" w:ascii="仿宋" w:hAnsi="仿宋" w:eastAsia="仿宋" w:cs="仿宋"/>
          <w:sz w:val="24"/>
          <w:szCs w:val="24"/>
        </w:rPr>
        <w:t>各学院根据“关于做好2023-2024学年第二学期专业实践系列讲座的通知”做好申报工作。</w:t>
      </w:r>
    </w:p>
    <w:p>
      <w:pPr>
        <w:ind w:firstLine="480" w:firstLineChars="200"/>
        <w:rPr>
          <w:rFonts w:ascii="仿宋" w:hAnsi="仿宋" w:eastAsia="仿宋" w:cs="仿宋"/>
          <w:sz w:val="24"/>
          <w:szCs w:val="24"/>
        </w:rPr>
      </w:pP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w:t>
      </w:r>
      <w:r>
        <w:rPr>
          <w:rFonts w:hint="eastAsia" w:ascii="仿宋" w:hAnsi="仿宋" w:eastAsia="仿宋" w:cs="仿宋"/>
          <w:sz w:val="24"/>
          <w:szCs w:val="24"/>
          <w:lang w:val="en-US" w:eastAsia="zh-CN"/>
        </w:rPr>
        <w:t>提交教学工作计划</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请各学院（中心）根据学校《2024年度教学工作计划》（附件6），于3月1日前提交本学院（中心）的年度</w:t>
      </w:r>
      <w:r>
        <w:rPr>
          <w:rFonts w:hint="eastAsia" w:ascii="仿宋" w:hAnsi="仿宋" w:eastAsia="仿宋" w:cs="仿宋"/>
          <w:sz w:val="24"/>
          <w:szCs w:val="24"/>
        </w:rPr>
        <w:t>教学工作计划</w:t>
      </w:r>
      <w:r>
        <w:rPr>
          <w:rFonts w:hint="eastAsia" w:ascii="仿宋" w:hAnsi="仿宋" w:eastAsia="仿宋" w:cs="仿宋"/>
          <w:sz w:val="24"/>
          <w:szCs w:val="24"/>
          <w:lang w:eastAsia="zh-CN"/>
        </w:rPr>
        <w:t>。</w:t>
      </w:r>
    </w:p>
    <w:p>
      <w:pPr>
        <w:ind w:firstLine="480" w:firstLineChars="200"/>
        <w:rPr>
          <w:rFonts w:ascii="仿宋" w:hAnsi="仿宋" w:eastAsia="仿宋" w:cs="仿宋"/>
          <w:sz w:val="24"/>
          <w:szCs w:val="24"/>
        </w:rPr>
      </w:pPr>
    </w:p>
    <w:p>
      <w:pPr>
        <w:jc w:val="right"/>
        <w:rPr>
          <w:rFonts w:ascii="仿宋" w:hAnsi="仿宋" w:eastAsia="仿宋" w:cs="仿宋"/>
          <w:sz w:val="24"/>
          <w:szCs w:val="24"/>
        </w:rPr>
      </w:pPr>
      <w:r>
        <w:rPr>
          <w:rFonts w:hint="eastAsia" w:ascii="仿宋" w:hAnsi="仿宋" w:eastAsia="仿宋" w:cs="仿宋"/>
          <w:sz w:val="24"/>
          <w:szCs w:val="24"/>
        </w:rPr>
        <w:t>        教务处</w:t>
      </w:r>
    </w:p>
    <w:p>
      <w:pPr>
        <w:jc w:val="right"/>
        <w:rPr>
          <w:rFonts w:ascii="仿宋" w:hAnsi="仿宋" w:eastAsia="仿宋" w:cs="仿宋"/>
          <w:sz w:val="24"/>
          <w:szCs w:val="24"/>
        </w:rPr>
      </w:pPr>
      <w:r>
        <w:rPr>
          <w:rFonts w:hint="eastAsia" w:ascii="仿宋" w:hAnsi="仿宋" w:eastAsia="仿宋" w:cs="仿宋"/>
          <w:sz w:val="24"/>
          <w:szCs w:val="24"/>
        </w:rPr>
        <w:t>         2024年2月20日</w:t>
      </w: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附件1：《课程教学管理指南》</w:t>
      </w:r>
    </w:p>
    <w:p>
      <w:pPr>
        <w:rPr>
          <w:rFonts w:ascii="仿宋" w:hAnsi="仿宋" w:eastAsia="仿宋" w:cs="仿宋"/>
          <w:sz w:val="24"/>
          <w:szCs w:val="24"/>
        </w:rPr>
      </w:pPr>
      <w:r>
        <w:rPr>
          <w:rFonts w:hint="eastAsia" w:ascii="仿宋" w:hAnsi="仿宋" w:eastAsia="仿宋" w:cs="仿宋"/>
          <w:sz w:val="24"/>
          <w:szCs w:val="24"/>
        </w:rPr>
        <w:t>附件2：《全英语、双语课程教学管理规定》</w:t>
      </w:r>
    </w:p>
    <w:p>
      <w:pPr>
        <w:rPr>
          <w:rFonts w:ascii="仿宋" w:hAnsi="仿宋" w:eastAsia="仿宋" w:cs="仿宋"/>
          <w:sz w:val="24"/>
          <w:szCs w:val="24"/>
        </w:rPr>
      </w:pPr>
      <w:r>
        <w:rPr>
          <w:rFonts w:hint="eastAsia" w:ascii="仿宋" w:hAnsi="仿宋" w:eastAsia="仿宋" w:cs="仿宋"/>
          <w:sz w:val="24"/>
          <w:szCs w:val="24"/>
        </w:rPr>
        <w:t>附件3：《关于成立学校本科教学质量督查小组的通知》</w:t>
      </w:r>
    </w:p>
    <w:p>
      <w:pPr>
        <w:rPr>
          <w:rFonts w:ascii="仿宋" w:hAnsi="仿宋" w:eastAsia="仿宋" w:cs="仿宋"/>
          <w:sz w:val="24"/>
          <w:szCs w:val="24"/>
        </w:rPr>
      </w:pPr>
      <w:r>
        <w:rPr>
          <w:rFonts w:hint="eastAsia" w:ascii="仿宋" w:hAnsi="仿宋" w:eastAsia="仿宋" w:cs="仿宋"/>
          <w:sz w:val="24"/>
          <w:szCs w:val="24"/>
        </w:rPr>
        <w:t>附件4：《课程质量评估实施办法（试行）》</w:t>
      </w:r>
    </w:p>
    <w:p>
      <w:pPr>
        <w:rPr>
          <w:rFonts w:hint="eastAsia" w:ascii="仿宋" w:hAnsi="仿宋" w:eastAsia="仿宋" w:cs="仿宋"/>
          <w:sz w:val="24"/>
          <w:szCs w:val="24"/>
        </w:rPr>
      </w:pPr>
      <w:r>
        <w:rPr>
          <w:rFonts w:hint="eastAsia" w:ascii="仿宋" w:hAnsi="仿宋" w:eastAsia="仿宋" w:cs="仿宋"/>
          <w:sz w:val="24"/>
          <w:szCs w:val="24"/>
        </w:rPr>
        <w:t>附件5：《教学事故认定与处理办法》</w:t>
      </w:r>
    </w:p>
    <w:p>
      <w:pPr>
        <w:rPr>
          <w:rFonts w:hint="eastAsia" w:ascii="仿宋" w:hAnsi="仿宋" w:eastAsia="仿宋" w:cs="仿宋"/>
          <w:sz w:val="24"/>
          <w:szCs w:val="24"/>
          <w:lang w:val="en-US" w:eastAsia="zh-CN"/>
        </w:rPr>
      </w:pPr>
      <w:r>
        <w:rPr>
          <w:rFonts w:hint="eastAsia" w:ascii="仿宋" w:hAnsi="仿宋" w:eastAsia="仿宋" w:cs="仿宋"/>
          <w:sz w:val="24"/>
          <w:szCs w:val="24"/>
        </w:rPr>
        <w:t>附件</w:t>
      </w: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《2024年度教学工作计划》</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附件7：《2023-2024学年第二学期教学工作月度安排》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C88FA"/>
    <w:multiLevelType w:val="singleLevel"/>
    <w:tmpl w:val="99FC88FA"/>
    <w:lvl w:ilvl="0" w:tentative="0">
      <w:start w:val="1"/>
      <w:numFmt w:val="decimal"/>
      <w:suff w:val="nothing"/>
      <w:lvlText w:val="（%1）"/>
      <w:lvlJc w:val="left"/>
    </w:lvl>
  </w:abstractNum>
  <w:abstractNum w:abstractNumId="1">
    <w:nsid w:val="A09C57B9"/>
    <w:multiLevelType w:val="singleLevel"/>
    <w:tmpl w:val="A09C57B9"/>
    <w:lvl w:ilvl="0" w:tentative="0">
      <w:start w:val="1"/>
      <w:numFmt w:val="decimal"/>
      <w:lvlText w:val="%1."/>
      <w:lvlJc w:val="left"/>
      <w:pPr>
        <w:tabs>
          <w:tab w:val="left" w:pos="312"/>
        </w:tabs>
      </w:pPr>
    </w:lvl>
  </w:abstractNum>
  <w:abstractNum w:abstractNumId="2">
    <w:nsid w:val="CD131376"/>
    <w:multiLevelType w:val="singleLevel"/>
    <w:tmpl w:val="CD13137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jYmVlOGRkMDY0NmJhYTdhZDI0ZmNmZWFhNjgyMmUifQ=="/>
  </w:docVars>
  <w:rsids>
    <w:rsidRoot w:val="004C5001"/>
    <w:rsid w:val="00071298"/>
    <w:rsid w:val="000B508C"/>
    <w:rsid w:val="0018577B"/>
    <w:rsid w:val="00203600"/>
    <w:rsid w:val="0039124A"/>
    <w:rsid w:val="004577FC"/>
    <w:rsid w:val="004C5001"/>
    <w:rsid w:val="00AC19F0"/>
    <w:rsid w:val="00BE1B63"/>
    <w:rsid w:val="00F85567"/>
    <w:rsid w:val="00FA2995"/>
    <w:rsid w:val="0124647A"/>
    <w:rsid w:val="01D123CA"/>
    <w:rsid w:val="04A36116"/>
    <w:rsid w:val="0C3F110A"/>
    <w:rsid w:val="134055E3"/>
    <w:rsid w:val="17A93DE2"/>
    <w:rsid w:val="17DD00AB"/>
    <w:rsid w:val="2A6B2DC2"/>
    <w:rsid w:val="2C610E53"/>
    <w:rsid w:val="32FA5DFB"/>
    <w:rsid w:val="3793600C"/>
    <w:rsid w:val="39845D9B"/>
    <w:rsid w:val="39F924CA"/>
    <w:rsid w:val="505526E6"/>
    <w:rsid w:val="566775D0"/>
    <w:rsid w:val="57B71635"/>
    <w:rsid w:val="5D2F5DCC"/>
    <w:rsid w:val="65E33644"/>
    <w:rsid w:val="709C13CF"/>
    <w:rsid w:val="72525A98"/>
    <w:rsid w:val="77227CF7"/>
    <w:rsid w:val="7B491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semiHidden/>
    <w:unhideWhenUsed/>
    <w:qFormat/>
    <w:uiPriority w:val="99"/>
    <w:pPr>
      <w:spacing w:beforeAutospacing="1" w:afterAutospacing="1"/>
      <w:jc w:val="left"/>
    </w:pPr>
    <w:rPr>
      <w:rFonts w:cs="Times New Roman"/>
      <w:kern w:val="0"/>
      <w:sz w:val="24"/>
    </w:rPr>
  </w:style>
  <w:style w:type="character" w:customStyle="1" w:styleId="5">
    <w:name w:val="15"/>
    <w:basedOn w:val="4"/>
    <w:autoRedefine/>
    <w:qFormat/>
    <w:uiPriority w:val="0"/>
    <w:rPr>
      <w:rFonts w:hint="default" w:ascii="Calibri" w:hAnsi="Calibri" w:cs="Calibri"/>
      <w:b/>
      <w:bCs/>
    </w:rPr>
  </w:style>
  <w:style w:type="character" w:customStyle="1" w:styleId="6">
    <w:name w:val="10"/>
    <w:basedOn w:val="4"/>
    <w:autoRedefine/>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350</Words>
  <Characters>2001</Characters>
  <Lines>16</Lines>
  <Paragraphs>4</Paragraphs>
  <TotalTime>21</TotalTime>
  <ScaleCrop>false</ScaleCrop>
  <LinksUpToDate>false</LinksUpToDate>
  <CharactersWithSpaces>2347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2024-02-21T03:26:00Z</dcterms:created>
  <dc:creator>zhongxian liang</dc:creator>
  <cp:lastModifiedBy>陶洁</cp:lastModifiedBy>
  <cp:lastPrinted>2024-02-21T10:18:00Z</cp:lastPrinted>
  <dcterms:modified xsi:type="dcterms:W3CDTF">2024-02-21T10:27:41Z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89F10DC34869443EB8524F2629CA8037_13</vt:lpwstr>
  </property>
</Properties>
</file>